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DD2F" w14:textId="74E53743" w:rsidR="007A23FF" w:rsidRPr="007A23FF" w:rsidRDefault="007A23FF" w:rsidP="007A23FF">
      <w:pPr>
        <w:spacing w:after="0" w:line="240" w:lineRule="auto"/>
        <w:jc w:val="center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28D28750" wp14:editId="238D0AD4">
            <wp:extent cx="1958340" cy="868680"/>
            <wp:effectExtent l="0" t="0" r="3810" b="762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14BC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525C6056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363FCABC" w14:textId="55F51803" w:rsidR="00390A5F" w:rsidRDefault="007A23FF" w:rsidP="00390A5F">
      <w:pPr>
        <w:keepNext/>
        <w:spacing w:after="0" w:line="240" w:lineRule="auto"/>
        <w:jc w:val="center"/>
        <w:outlineLvl w:val="1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R</w:t>
      </w:r>
      <w:r w:rsidR="00390A5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ole Description</w:t>
      </w: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 </w:t>
      </w:r>
      <w:r w:rsidR="00390A5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and </w:t>
      </w:r>
    </w:p>
    <w:p w14:paraId="42E793F1" w14:textId="190C3691" w:rsidR="00390A5F" w:rsidRDefault="00390A5F" w:rsidP="00390A5F">
      <w:pPr>
        <w:keepNext/>
        <w:spacing w:after="0" w:line="240" w:lineRule="auto"/>
        <w:jc w:val="center"/>
        <w:outlineLvl w:val="1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  <w:r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S</w:t>
      </w: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kills, </w:t>
      </w:r>
      <w:proofErr w:type="gramStart"/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expertise</w:t>
      </w:r>
      <w:proofErr w:type="gramEnd"/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 and knowledge cri</w:t>
      </w:r>
      <w:r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teria </w:t>
      </w: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for </w:t>
      </w:r>
    </w:p>
    <w:p w14:paraId="64C5757E" w14:textId="49234DE8" w:rsidR="00390A5F" w:rsidRPr="007A23FF" w:rsidRDefault="00390A5F" w:rsidP="00390A5F">
      <w:pPr>
        <w:keepNext/>
        <w:spacing w:after="0" w:line="240" w:lineRule="auto"/>
        <w:jc w:val="center"/>
        <w:outlineLvl w:val="1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BASW Chair</w:t>
      </w:r>
    </w:p>
    <w:p w14:paraId="454344C1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40B17E13" w14:textId="77777777" w:rsidR="007A23FF" w:rsidRPr="007A23FF" w:rsidRDefault="007A23FF" w:rsidP="007A23FF">
      <w:pPr>
        <w:keepNext/>
        <w:spacing w:after="0" w:line="240" w:lineRule="auto"/>
        <w:ind w:left="2880" w:hanging="2880"/>
        <w:outlineLvl w:val="2"/>
        <w:rPr>
          <w:rFonts w:ascii="Arial" w:eastAsia="ヒラギノ角ゴ Pro W3" w:hAnsi="Arial" w:cs="Arial"/>
          <w:color w:val="000000"/>
          <w:sz w:val="24"/>
          <w:szCs w:val="20"/>
          <w:lang w:val="en-US" w:eastAsia="en-GB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Key accountability:</w:t>
      </w:r>
      <w:r w:rsidRPr="007A23FF">
        <w:rPr>
          <w:rFonts w:ascii="Arial" w:eastAsia="ヒラギノ角ゴ Pro W3" w:hAnsi="Arial" w:cs="Arial"/>
          <w:color w:val="000000"/>
          <w:sz w:val="24"/>
          <w:szCs w:val="20"/>
          <w:lang w:val="en-US" w:eastAsia="en-GB"/>
        </w:rPr>
        <w:t xml:space="preserve"> </w:t>
      </w:r>
      <w:r w:rsidRPr="007A23FF">
        <w:rPr>
          <w:rFonts w:ascii="Arial" w:eastAsia="ヒラギノ角ゴ Pro W3" w:hAnsi="Arial" w:cs="Arial"/>
          <w:color w:val="000000"/>
          <w:sz w:val="24"/>
          <w:szCs w:val="20"/>
          <w:lang w:val="en-US" w:eastAsia="en-GB"/>
        </w:rPr>
        <w:tab/>
        <w:t>To the membership, to Council and to the social work profession</w:t>
      </w:r>
    </w:p>
    <w:p w14:paraId="743E7032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1A633171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b/>
          <w:color w:val="000000"/>
          <w:sz w:val="20"/>
          <w:szCs w:val="24"/>
          <w:lang w:val="en-US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4"/>
          <w:lang w:val="en-US"/>
        </w:rPr>
        <w:t>Summary responsibilities:</w:t>
      </w:r>
    </w:p>
    <w:p w14:paraId="6A6C7884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0"/>
          <w:szCs w:val="24"/>
          <w:lang w:val="en-US"/>
        </w:rPr>
      </w:pPr>
    </w:p>
    <w:p w14:paraId="19C8CF0E" w14:textId="458F9289" w:rsidR="000E39CA" w:rsidRPr="000E39CA" w:rsidRDefault="000E39CA" w:rsidP="007A23FF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 w:hanging="36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0E39CA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champion and be a spokesperson for the British Association of Social Workers (BASW), its members, the social work profession, our </w:t>
      </w:r>
      <w:hyperlink r:id="rId9" w:history="1">
        <w:r w:rsidRPr="005F256C">
          <w:rPr>
            <w:rStyle w:val="Hyperlink"/>
            <w:rFonts w:ascii="Arial" w:eastAsia="ヒラギノ角ゴ Pro W3" w:hAnsi="Arial" w:cs="Arial"/>
            <w:sz w:val="24"/>
            <w:szCs w:val="24"/>
            <w:lang w:val="en-US"/>
          </w:rPr>
          <w:t>values and ethics</w:t>
        </w:r>
      </w:hyperlink>
    </w:p>
    <w:p w14:paraId="7D096BBF" w14:textId="1AFFD85F" w:rsidR="007A23FF" w:rsidRPr="007A23FF" w:rsidRDefault="007A23FF" w:rsidP="007A23FF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 w:hanging="36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sz w:val="24"/>
          <w:szCs w:val="24"/>
          <w:lang w:val="en-US"/>
        </w:rPr>
        <w:t xml:space="preserve">To lead on achieving </w:t>
      </w:r>
      <w:hyperlink r:id="rId10" w:history="1">
        <w:r w:rsidRPr="00BE260E">
          <w:rPr>
            <w:rStyle w:val="Hyperlink"/>
            <w:rFonts w:ascii="Arial" w:eastAsia="ヒラギノ角ゴ Pro W3" w:hAnsi="Arial" w:cs="Arial"/>
            <w:sz w:val="24"/>
            <w:szCs w:val="24"/>
            <w:lang w:val="en-US"/>
          </w:rPr>
          <w:t>BASW’s 2025 Vision and Mission</w:t>
        </w:r>
      </w:hyperlink>
      <w:r w:rsidRPr="007A23FF">
        <w:rPr>
          <w:rFonts w:ascii="Arial" w:eastAsia="ヒラギノ角ゴ Pro W3" w:hAnsi="Arial" w:cs="Arial"/>
          <w:sz w:val="24"/>
          <w:szCs w:val="24"/>
          <w:lang w:val="en-US"/>
        </w:rPr>
        <w:t xml:space="preserve"> and our </w:t>
      </w: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transformational priorities: </w:t>
      </w:r>
    </w:p>
    <w:p w14:paraId="6D777991" w14:textId="77777777" w:rsidR="007A23FF" w:rsidRPr="007A23FF" w:rsidRDefault="007A23FF" w:rsidP="007A23FF">
      <w:pPr>
        <w:numPr>
          <w:ilvl w:val="2"/>
          <w:numId w:val="1"/>
        </w:numPr>
        <w:tabs>
          <w:tab w:val="num" w:pos="502"/>
        </w:tabs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i/>
          <w:iCs/>
          <w:color w:val="000000"/>
          <w:sz w:val="24"/>
          <w:szCs w:val="24"/>
          <w:lang w:val="en-US"/>
        </w:rPr>
        <w:t xml:space="preserve">promoting equality, diversity and inclusion across all parts of </w:t>
      </w:r>
      <w:proofErr w:type="gramStart"/>
      <w:r w:rsidRPr="007A23FF">
        <w:rPr>
          <w:rFonts w:ascii="Arial" w:eastAsia="ヒラギノ角ゴ Pro W3" w:hAnsi="Arial" w:cs="Arial"/>
          <w:i/>
          <w:iCs/>
          <w:color w:val="000000"/>
          <w:sz w:val="24"/>
          <w:szCs w:val="24"/>
          <w:lang w:val="en-US"/>
        </w:rPr>
        <w:t>BASW;</w:t>
      </w:r>
      <w:proofErr w:type="gramEnd"/>
    </w:p>
    <w:p w14:paraId="1B7FA132" w14:textId="77777777" w:rsidR="007A23FF" w:rsidRPr="007A23FF" w:rsidRDefault="007A23FF" w:rsidP="007A23FF">
      <w:pPr>
        <w:numPr>
          <w:ilvl w:val="2"/>
          <w:numId w:val="1"/>
        </w:numPr>
        <w:tabs>
          <w:tab w:val="num" w:pos="502"/>
        </w:tabs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i/>
          <w:iCs/>
          <w:color w:val="000000"/>
          <w:sz w:val="24"/>
          <w:szCs w:val="24"/>
          <w:lang w:val="en-US"/>
        </w:rPr>
        <w:t xml:space="preserve">involving and working in co-production with experts by </w:t>
      </w:r>
      <w:proofErr w:type="gramStart"/>
      <w:r w:rsidRPr="007A23FF">
        <w:rPr>
          <w:rFonts w:ascii="Arial" w:eastAsia="ヒラギノ角ゴ Pro W3" w:hAnsi="Arial" w:cs="Arial"/>
          <w:i/>
          <w:iCs/>
          <w:color w:val="000000"/>
          <w:sz w:val="24"/>
          <w:szCs w:val="24"/>
          <w:lang w:val="en-US"/>
        </w:rPr>
        <w:t>experience;</w:t>
      </w:r>
      <w:proofErr w:type="gramEnd"/>
    </w:p>
    <w:p w14:paraId="0A57B5D6" w14:textId="77777777" w:rsidR="007A23FF" w:rsidRPr="007A23FF" w:rsidRDefault="007A23FF" w:rsidP="007A23FF">
      <w:pPr>
        <w:numPr>
          <w:ilvl w:val="2"/>
          <w:numId w:val="1"/>
        </w:numPr>
        <w:tabs>
          <w:tab w:val="num" w:pos="502"/>
        </w:tabs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i/>
          <w:iCs/>
          <w:color w:val="000000"/>
          <w:sz w:val="24"/>
          <w:szCs w:val="24"/>
          <w:lang w:val="en-US"/>
        </w:rPr>
        <w:t>promoting sustainability and environmental justice.</w:t>
      </w:r>
    </w:p>
    <w:p w14:paraId="61E78ED5" w14:textId="77777777" w:rsidR="007A23FF" w:rsidRPr="007A23FF" w:rsidRDefault="007A23FF" w:rsidP="007A23FF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 w:hanging="36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chair, facilitate and support Council (the Board of BASW Directors), to make effective decisions and to ensure oversight of all BASW business </w:t>
      </w:r>
    </w:p>
    <w:p w14:paraId="0B5F7526" w14:textId="77777777" w:rsidR="007A23FF" w:rsidRPr="007A23FF" w:rsidRDefault="007A23FF" w:rsidP="007A23FF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 w:hanging="36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understand, promote and protect members’ interests and to further develop the involvement and engagement of our diverse membership </w:t>
      </w:r>
    </w:p>
    <w:p w14:paraId="681DD844" w14:textId="77777777" w:rsidR="007A23FF" w:rsidRPr="007A23FF" w:rsidRDefault="007A23FF" w:rsidP="007A23FF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 w:hanging="36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work collaboratively and effectively with Council, the Chief Executive and other staff to achieve our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plans</w:t>
      </w:r>
      <w:proofErr w:type="gramEnd"/>
    </w:p>
    <w:p w14:paraId="5BFEA203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529A29DA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b/>
          <w:bCs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b/>
          <w:bCs/>
          <w:color w:val="000000"/>
          <w:sz w:val="24"/>
          <w:szCs w:val="24"/>
          <w:lang w:val="en-US"/>
        </w:rPr>
        <w:t>Other responsibilities:</w:t>
      </w:r>
    </w:p>
    <w:p w14:paraId="7F446516" w14:textId="77777777" w:rsidR="007A23FF" w:rsidRPr="007A23FF" w:rsidRDefault="007A23FF" w:rsidP="007A23FF">
      <w:pPr>
        <w:keepNext/>
        <w:spacing w:after="0" w:line="240" w:lineRule="auto"/>
        <w:outlineLvl w:val="2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</w:p>
    <w:p w14:paraId="7DE6F579" w14:textId="77777777" w:rsidR="007A23FF" w:rsidRPr="007A23FF" w:rsidRDefault="007A23FF" w:rsidP="007A23FF">
      <w:pPr>
        <w:keepNext/>
        <w:spacing w:after="0" w:line="240" w:lineRule="auto"/>
        <w:outlineLvl w:val="2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In respect of Council</w:t>
      </w:r>
    </w:p>
    <w:p w14:paraId="20642629" w14:textId="77777777" w:rsidR="007A23FF" w:rsidRPr="007A23FF" w:rsidRDefault="007A23FF" w:rsidP="007A23FF">
      <w:pPr>
        <w:keepNext/>
        <w:spacing w:after="0" w:line="240" w:lineRule="auto"/>
        <w:outlineLvl w:val="2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 </w:t>
      </w:r>
    </w:p>
    <w:p w14:paraId="3D18A878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lead and chair Council in all its strategic and operational responsibilities. </w:t>
      </w:r>
    </w:p>
    <w:p w14:paraId="7603D88F" w14:textId="29FF897C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act as a company director of BASW, the not-for-profit company, </w:t>
      </w:r>
      <w:hyperlink r:id="rId11" w:history="1">
        <w:r w:rsidRPr="0029717B">
          <w:rPr>
            <w:rStyle w:val="Hyperlink"/>
            <w:rFonts w:ascii="Arial" w:eastAsia="ヒラギノ角ゴ Pro W3" w:hAnsi="Arial" w:cs="Arial"/>
            <w:sz w:val="24"/>
            <w:szCs w:val="24"/>
            <w:lang w:val="en-US"/>
          </w:rPr>
          <w:t>limited by guarantee</w:t>
        </w:r>
      </w:hyperlink>
    </w:p>
    <w:p w14:paraId="0C97E568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be responsible for agreeing the Council agenda and to work with the Chief Executive to determine how the agenda is managed,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discussed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and </w:t>
      </w:r>
      <w:proofErr w:type="spell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prioritised</w:t>
      </w:r>
      <w:proofErr w:type="spell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for decision making.</w:t>
      </w:r>
    </w:p>
    <w:p w14:paraId="3A487935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work closely with the other Honorary Officers (Vice Chair and Honorary Treasurer), sharing responsibilities and tasks and asking for </w:t>
      </w:r>
      <w:proofErr w:type="spell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deputisation</w:t>
      </w:r>
      <w:proofErr w:type="spell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when required.</w:t>
      </w:r>
    </w:p>
    <w:p w14:paraId="095EC976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support Council members in their roles including ensuring effective induction, communication channels and ongoing development in role.</w:t>
      </w:r>
    </w:p>
    <w:p w14:paraId="14637A3A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lastRenderedPageBreak/>
        <w:t xml:space="preserve">To encourage and support all Council members to be engaged, motivated and feel able to openly contribute to Council discussions and decisions.  </w:t>
      </w:r>
    </w:p>
    <w:p w14:paraId="4754CC0D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work closely with the Chairs of Standing Committees and the Equality,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Diversity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and Inclusion Advisory Group to ensure effective two-way communication with Council.</w:t>
      </w:r>
    </w:p>
    <w:p w14:paraId="1B24E56B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Any other relevant and appropriate duties to ensure the effectiveness of Council, as required.</w:t>
      </w:r>
    </w:p>
    <w:p w14:paraId="7181F36A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21641688" w14:textId="77777777" w:rsidR="007A23FF" w:rsidRPr="007A23FF" w:rsidRDefault="007A23FF" w:rsidP="007A23FF">
      <w:pPr>
        <w:keepNext/>
        <w:spacing w:after="0" w:line="240" w:lineRule="auto"/>
        <w:outlineLvl w:val="2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In respect of the Membership</w:t>
      </w:r>
    </w:p>
    <w:p w14:paraId="17C11DF9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0"/>
          <w:szCs w:val="24"/>
          <w:lang w:val="en-US"/>
        </w:rPr>
      </w:pPr>
    </w:p>
    <w:p w14:paraId="66A7A6A2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understand, promote and protect the interests of the members and ensure that the Association pursues its agreed objectives, Vision,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Mission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and multi-year business plans (and any future plans adopted by Council/the membership).</w:t>
      </w:r>
    </w:p>
    <w:p w14:paraId="48B07223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ensure the development and inclusivity of BASW’s core services and support to all members (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e.g.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through Advice and Representation, branches and groups, other support and learning activities).</w:t>
      </w:r>
    </w:p>
    <w:p w14:paraId="34178806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chair the AGM, any other General Meetings and major Association events where possible.  </w:t>
      </w:r>
    </w:p>
    <w:p w14:paraId="05CA29D2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represent the Association externally, </w:t>
      </w:r>
      <w:r w:rsidRPr="007A23FF">
        <w:rPr>
          <w:rFonts w:ascii="Arial" w:eastAsia="ヒラギノ角ゴ Pro W3" w:hAnsi="Arial" w:cs="Arial"/>
          <w:sz w:val="24"/>
          <w:szCs w:val="24"/>
          <w:lang w:val="en-US"/>
        </w:rPr>
        <w:t>in the UK and internationally, in line with BASW’s external affairs strategy.</w:t>
      </w:r>
    </w:p>
    <w:p w14:paraId="37B31663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provide written and other communications to members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e.g.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through articles in Professional Social Work magazine, for e-bulletins, podcasts, blogs/vlogs, external media etc.</w:t>
      </w:r>
    </w:p>
    <w:p w14:paraId="6C6E972C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receive and respond periodically to member queries and complaints.</w:t>
      </w:r>
    </w:p>
    <w:p w14:paraId="69AA7090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uphold the BASW UK Code of Ethics including through consideration of members referred to the Conduct Committee.</w:t>
      </w:r>
    </w:p>
    <w:p w14:paraId="4AAD2EA3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represent BASW members and UK social work within the International Federation of Social Workers.</w:t>
      </w:r>
    </w:p>
    <w:p w14:paraId="70E2F363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4DA00471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b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4"/>
          <w:lang w:val="en-US"/>
        </w:rPr>
        <w:t>In respect of social work and social workers across the UK</w:t>
      </w:r>
    </w:p>
    <w:p w14:paraId="0ED7370C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71679296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act as a visible leader and spokesperson for the profession across all four nations of the UK, including in the media. </w:t>
      </w:r>
    </w:p>
    <w:p w14:paraId="2D6F6C6B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promote good practice and sufficiently resourced and supported social work services.</w:t>
      </w:r>
    </w:p>
    <w:p w14:paraId="269F1C50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develop the professional support and development role of BASW and raise our standing as the professional association for all social workers.</w:t>
      </w:r>
    </w:p>
    <w:p w14:paraId="410E01ED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use expertise in one or more aspects of social work and act as a role model to the profession.</w:t>
      </w:r>
    </w:p>
    <w:p w14:paraId="516CCB45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55BEFEAA" w14:textId="77777777" w:rsidR="007A23FF" w:rsidRPr="007A23FF" w:rsidRDefault="007A23FF" w:rsidP="007A23FF">
      <w:pPr>
        <w:keepNext/>
        <w:spacing w:after="0" w:line="240" w:lineRule="auto"/>
        <w:outlineLvl w:val="2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In respect of the Chief Executive and staff group</w:t>
      </w:r>
    </w:p>
    <w:p w14:paraId="1B3CAF7A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0"/>
          <w:szCs w:val="24"/>
          <w:lang w:val="en-US"/>
        </w:rPr>
      </w:pPr>
    </w:p>
    <w:p w14:paraId="0224AE7F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take primary responsibility for all aspects of the Association’s employment relationship with the Chief Executive, including terms and conditions of employment and </w:t>
      </w:r>
      <w:r w:rsidRPr="007A23FF">
        <w:rPr>
          <w:rFonts w:ascii="Arial" w:eastAsia="ヒラギノ角ゴ Pro W3" w:hAnsi="Arial" w:cs="Arial"/>
          <w:sz w:val="24"/>
          <w:szCs w:val="24"/>
          <w:lang w:val="en-US"/>
        </w:rPr>
        <w:t>supervision.</w:t>
      </w:r>
    </w:p>
    <w:p w14:paraId="5446E313" w14:textId="77777777" w:rsidR="007A23FF" w:rsidRPr="007A23FF" w:rsidRDefault="007A23FF" w:rsidP="007A23FF">
      <w:pPr>
        <w:numPr>
          <w:ilvl w:val="0"/>
          <w:numId w:val="2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lastRenderedPageBreak/>
        <w:t xml:space="preserve">To develop an effective, collaborative and mutually supportive working relationship with the Chief Executive in pursuance of clear, shared objectives. </w:t>
      </w:r>
    </w:p>
    <w:p w14:paraId="3E823ECD" w14:textId="77777777" w:rsidR="007A23FF" w:rsidRPr="007A23FF" w:rsidRDefault="007A23FF" w:rsidP="007A23F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build effective working relationships with the staff group, supporting excellent working and employment practices and an enabling, learning culture across the association</w:t>
      </w:r>
    </w:p>
    <w:p w14:paraId="25B0025C" w14:textId="77777777" w:rsidR="007A23FF" w:rsidRPr="007A23FF" w:rsidRDefault="007A23FF" w:rsidP="007A23FF">
      <w:pPr>
        <w:tabs>
          <w:tab w:val="left" w:pos="720"/>
        </w:tabs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6C574CA0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6C2381B8" w14:textId="77777777" w:rsidR="007A23FF" w:rsidRPr="007A23FF" w:rsidRDefault="007A23FF" w:rsidP="007A23FF">
      <w:pPr>
        <w:tabs>
          <w:tab w:val="left" w:pos="720"/>
        </w:tabs>
        <w:spacing w:after="0" w:line="240" w:lineRule="auto"/>
        <w:rPr>
          <w:rFonts w:ascii="Arial" w:eastAsia="ヒラギノ角ゴ Pro W3" w:hAnsi="Arial" w:cs="Arial"/>
          <w:b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4"/>
          <w:lang w:val="en-US"/>
        </w:rPr>
        <w:t>In respect of the Association as a whole</w:t>
      </w:r>
    </w:p>
    <w:p w14:paraId="293469C1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5AC9D8F8" w14:textId="77777777" w:rsidR="007A23FF" w:rsidRPr="007A23FF" w:rsidRDefault="007A23FF" w:rsidP="007A23F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To develop and maintain productive relationships with a range of external organisations and partners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e.g.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other social work and related organisations in the UK, the International Federation of Social Workers and expert by experience organisations.</w:t>
      </w:r>
    </w:p>
    <w:p w14:paraId="0C95835B" w14:textId="77777777" w:rsidR="007A23FF" w:rsidRPr="007A23FF" w:rsidRDefault="007A23FF" w:rsidP="007A23F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represent and promote the Association at events and with external stakeholders.</w:t>
      </w:r>
    </w:p>
    <w:p w14:paraId="5EDCE4B1" w14:textId="77777777" w:rsidR="007A23FF" w:rsidRPr="007A23FF" w:rsidRDefault="007A23FF" w:rsidP="007A23F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To support Honorary Officers and other Council Directors and members to act as spokespeople/representatives of the association.</w:t>
      </w:r>
    </w:p>
    <w:p w14:paraId="5B3E41B3" w14:textId="77777777" w:rsidR="007A23FF" w:rsidRPr="007A23FF" w:rsidRDefault="007A23FF" w:rsidP="007A23FF">
      <w:pPr>
        <w:keepNext/>
        <w:spacing w:after="0" w:line="240" w:lineRule="auto"/>
        <w:outlineLvl w:val="1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</w:p>
    <w:p w14:paraId="7E6B6357" w14:textId="77777777" w:rsidR="007A23FF" w:rsidRPr="007A23FF" w:rsidRDefault="007A23FF" w:rsidP="007A23FF">
      <w:pPr>
        <w:keepNext/>
        <w:spacing w:after="0" w:line="240" w:lineRule="auto"/>
        <w:outlineLvl w:val="1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</w:p>
    <w:p w14:paraId="78CEEF59" w14:textId="0496142C" w:rsidR="007A23FF" w:rsidRDefault="007A23FF" w:rsidP="00390A5F">
      <w:pPr>
        <w:keepNext/>
        <w:spacing w:after="0" w:line="240" w:lineRule="auto"/>
        <w:outlineLvl w:val="1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Personal skills, </w:t>
      </w:r>
      <w:proofErr w:type="gramStart"/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>expertise</w:t>
      </w:r>
      <w:proofErr w:type="gramEnd"/>
      <w:r w:rsidRPr="007A23FF"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  <w:t xml:space="preserve"> and knowledge criteria for BASW Chair</w:t>
      </w:r>
    </w:p>
    <w:p w14:paraId="0C909801" w14:textId="222424CC" w:rsidR="00390A5F" w:rsidRDefault="00390A5F" w:rsidP="00390A5F">
      <w:pPr>
        <w:keepNext/>
        <w:spacing w:after="0" w:line="240" w:lineRule="auto"/>
        <w:outlineLvl w:val="1"/>
        <w:rPr>
          <w:rFonts w:ascii="Arial" w:eastAsia="ヒラギノ角ゴ Pro W3" w:hAnsi="Arial" w:cs="Arial"/>
          <w:b/>
          <w:color w:val="000000"/>
          <w:sz w:val="24"/>
          <w:szCs w:val="20"/>
          <w:lang w:val="en-US" w:eastAsia="en-GB"/>
        </w:rPr>
      </w:pPr>
    </w:p>
    <w:p w14:paraId="5FA4760E" w14:textId="75031791" w:rsidR="00390A5F" w:rsidRPr="00390A5F" w:rsidRDefault="00390A5F" w:rsidP="00390A5F">
      <w:pPr>
        <w:keepNext/>
        <w:spacing w:after="0" w:line="240" w:lineRule="auto"/>
        <w:outlineLvl w:val="1"/>
        <w:rPr>
          <w:rFonts w:ascii="Arial" w:eastAsia="ヒラギノ角ゴ Pro W3" w:hAnsi="Arial" w:cs="Arial"/>
          <w:bCs/>
          <w:color w:val="000000"/>
          <w:sz w:val="24"/>
          <w:szCs w:val="20"/>
          <w:lang w:val="en-US" w:eastAsia="en-GB"/>
        </w:rPr>
      </w:pPr>
      <w:r>
        <w:rPr>
          <w:rFonts w:ascii="Arial" w:eastAsia="ヒラギノ角ゴ Pro W3" w:hAnsi="Arial" w:cs="Arial"/>
          <w:bCs/>
          <w:color w:val="000000"/>
          <w:sz w:val="24"/>
          <w:szCs w:val="20"/>
          <w:lang w:val="en-US" w:eastAsia="en-GB"/>
        </w:rPr>
        <w:t xml:space="preserve">Your nomination form should reflect how you meet the criteria for the role </w:t>
      </w:r>
    </w:p>
    <w:p w14:paraId="35C11528" w14:textId="77777777" w:rsidR="007A23FF" w:rsidRPr="007A23FF" w:rsidRDefault="007A23FF" w:rsidP="007A23F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14:paraId="4B5561B1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Hold a social work qualification </w:t>
      </w:r>
      <w:proofErr w:type="spell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recognised</w:t>
      </w:r>
      <w:proofErr w:type="spell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in the UK. </w:t>
      </w:r>
    </w:p>
    <w:p w14:paraId="2591AC0D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shd w:val="clear" w:color="auto" w:fill="FFFF00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Have a </w:t>
      </w:r>
      <w:proofErr w:type="spell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recognised</w:t>
      </w:r>
      <w:proofErr w:type="spell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and credible track record in expert social work practice and/or development.</w:t>
      </w:r>
    </w:p>
    <w:p w14:paraId="60824603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shd w:val="clear" w:color="auto" w:fill="FFFF00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Have good understanding and connection with contemporary practice,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developments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and challenges.</w:t>
      </w:r>
    </w:p>
    <w:p w14:paraId="00C4D263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Be motivated and skilled in promoting the social work profession and the vision and mission of the Association.</w:t>
      </w:r>
    </w:p>
    <w:p w14:paraId="19C7C5A8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Have excellent professional writing and verbal skills, including public speaking and presenting.</w:t>
      </w:r>
    </w:p>
    <w:p w14:paraId="1FF67F86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Have effective leadership and chairing skills and experience.</w:t>
      </w:r>
    </w:p>
    <w:p w14:paraId="4E86ED37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Have the ability and willingness to promote social work and the Association through the press, social and broadcast media.</w:t>
      </w:r>
    </w:p>
    <w:p w14:paraId="29473BA6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Be able to lead organisational policy, business direction, strategy,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governance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and risk management through collaboration with members, stakeholders, the CEO and other staff.</w:t>
      </w:r>
    </w:p>
    <w:p w14:paraId="2CC8173D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Be able to build relationships with diverse stakeholders across the UK </w:t>
      </w:r>
      <w:proofErr w:type="gramStart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e.g.</w:t>
      </w:r>
      <w:proofErr w:type="gramEnd"/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front line practitioners, students, academics, experts by experience, campaigning organisations, employers, governments and policy makers.</w:t>
      </w:r>
    </w:p>
    <w:p w14:paraId="13304106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Understand and meet the demands leading a UK wide organisation across four distinct nations.</w:t>
      </w:r>
    </w:p>
    <w:p w14:paraId="3D3B500E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lastRenderedPageBreak/>
        <w:t xml:space="preserve">Be able to secure a time commitment for the work of the Association of up to two days per week </w:t>
      </w:r>
      <w:r w:rsidRPr="007A23FF">
        <w:rPr>
          <w:rFonts w:ascii="Arial" w:eastAsia="ヒラギノ角ゴ Pro W3" w:hAnsi="Arial" w:cs="Arial"/>
          <w:sz w:val="24"/>
          <w:szCs w:val="24"/>
          <w:lang w:val="en-US"/>
        </w:rPr>
        <w:t>on a routine basis and for longer periods on occasional overseas travel (mainly) for IFSW business.</w:t>
      </w:r>
    </w:p>
    <w:p w14:paraId="277B10DD" w14:textId="77777777" w:rsidR="007A23FF" w:rsidRPr="007A23FF" w:rsidRDefault="007A23FF" w:rsidP="007A23FF">
      <w:pPr>
        <w:numPr>
          <w:ilvl w:val="0"/>
          <w:numId w:val="3"/>
        </w:numPr>
        <w:spacing w:after="0" w:line="240" w:lineRule="auto"/>
        <w:ind w:hanging="720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7A23FF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Meet all the eligibility criteria laid out in guidance above.</w:t>
      </w:r>
    </w:p>
    <w:p w14:paraId="3742B7B7" w14:textId="677163D3" w:rsidR="007A23FF" w:rsidRPr="007A23FF" w:rsidRDefault="005F256C" w:rsidP="007A23FF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en-GB" w:bidi="x-none"/>
        </w:rPr>
      </w:pPr>
      <w:r>
        <w:rPr>
          <w:rFonts w:ascii="Arial" w:eastAsia="Times New Roman" w:hAnsi="Arial" w:cs="Arial"/>
          <w:sz w:val="20"/>
          <w:szCs w:val="24"/>
          <w:lang w:eastAsia="en-GB" w:bidi="x-none"/>
        </w:rPr>
        <w:t>November 2023</w:t>
      </w:r>
    </w:p>
    <w:sectPr w:rsidR="007A23FF" w:rsidRPr="007A23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5D8DE98"/>
    <w:lvl w:ilvl="0">
      <w:start w:val="1"/>
      <w:numFmt w:val="lowerRoman"/>
      <w:lvlText w:val="%1."/>
      <w:lvlJc w:val="right"/>
      <w:pPr>
        <w:tabs>
          <w:tab w:val="num" w:pos="360"/>
        </w:tabs>
        <w:ind w:left="360" w:firstLine="142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86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158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230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302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37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446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5182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</w:abstractNum>
  <w:num w:numId="1" w16cid:durableId="885020981">
    <w:abstractNumId w:val="0"/>
  </w:num>
  <w:num w:numId="2" w16cid:durableId="190382949">
    <w:abstractNumId w:val="1"/>
  </w:num>
  <w:num w:numId="3" w16cid:durableId="121372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FF"/>
    <w:rsid w:val="000665D4"/>
    <w:rsid w:val="000E39CA"/>
    <w:rsid w:val="0029717B"/>
    <w:rsid w:val="002F7239"/>
    <w:rsid w:val="00390A5F"/>
    <w:rsid w:val="00400EA5"/>
    <w:rsid w:val="0052399E"/>
    <w:rsid w:val="005F256C"/>
    <w:rsid w:val="007A23FF"/>
    <w:rsid w:val="00BE260E"/>
    <w:rsid w:val="00C1148D"/>
    <w:rsid w:val="00C11853"/>
    <w:rsid w:val="00E5279A"/>
    <w:rsid w:val="00ED012E"/>
    <w:rsid w:val="00F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4E3C"/>
  <w15:chartTrackingRefBased/>
  <w15:docId w15:val="{CFEAF0EE-A3E5-414D-AAD5-38773FF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A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3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A23FF"/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E39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limited-company-forma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new.basw.co.uk/about-bas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ew.basw.co.uk/policy-and-practice/resources/basw-code-ethics-social-work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04f3c-52f7-43f5-96f5-bb8c5af1fe79" xsi:nil="true"/>
    <lcf76f155ced4ddcb4097134ff3c332f xmlns="9fa5eb45-032e-4ae4-86ad-9860f7fa99de">
      <Terms xmlns="http://schemas.microsoft.com/office/infopath/2007/PartnerControls"/>
    </lcf76f155ced4ddcb4097134ff3c332f>
    <SharedWithUsers xmlns="d1204f3c-52f7-43f5-96f5-bb8c5af1fe7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D6499874BCB409E24C80077D9E666" ma:contentTypeVersion="12" ma:contentTypeDescription="Create a new document." ma:contentTypeScope="" ma:versionID="74eaabc0a4f1dce87f3fe87305fe73c2">
  <xsd:schema xmlns:xsd="http://www.w3.org/2001/XMLSchema" xmlns:xs="http://www.w3.org/2001/XMLSchema" xmlns:p="http://schemas.microsoft.com/office/2006/metadata/properties" xmlns:ns2="9fa5eb45-032e-4ae4-86ad-9860f7fa99de" xmlns:ns3="d1204f3c-52f7-43f5-96f5-bb8c5af1fe79" targetNamespace="http://schemas.microsoft.com/office/2006/metadata/properties" ma:root="true" ma:fieldsID="b0b49418ef1409890da6b2232da3280e" ns2:_="" ns3:_="">
    <xsd:import namespace="9fa5eb45-032e-4ae4-86ad-9860f7fa99de"/>
    <xsd:import namespace="d1204f3c-52f7-43f5-96f5-bb8c5af1f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eb45-032e-4ae4-86ad-9860f7fa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f6f2c7-f84b-42a6-be1a-684c88b8a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4f3c-52f7-43f5-96f5-bb8c5af1fe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cf6a31-52ef-47fa-8bde-9a9033b1bb55}" ma:internalName="TaxCatchAll" ma:showField="CatchAllData" ma:web="d1204f3c-52f7-43f5-96f5-bb8c5af1f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3CF05-CE3E-4BB1-85C2-2BB47FCB1D0D}">
  <ds:schemaRefs>
    <ds:schemaRef ds:uri="http://schemas.microsoft.com/office/2006/metadata/properties"/>
    <ds:schemaRef ds:uri="http://schemas.microsoft.com/office/infopath/2007/PartnerControls"/>
    <ds:schemaRef ds:uri="d1204f3c-52f7-43f5-96f5-bb8c5af1fe79"/>
    <ds:schemaRef ds:uri="9fa5eb45-032e-4ae4-86ad-9860f7fa99de"/>
  </ds:schemaRefs>
</ds:datastoreItem>
</file>

<file path=customXml/itemProps2.xml><?xml version="1.0" encoding="utf-8"?>
<ds:datastoreItem xmlns:ds="http://schemas.openxmlformats.org/officeDocument/2006/customXml" ds:itemID="{208779DC-E022-48EE-A839-8684B565F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A6FB2-7E63-4ACC-BBF6-0BEEA9BE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eb45-032e-4ae4-86ad-9860f7fa99de"/>
    <ds:schemaRef ds:uri="d1204f3c-52f7-43f5-96f5-bb8c5af1f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Konstandis</dc:creator>
  <cp:keywords/>
  <dc:description/>
  <cp:lastModifiedBy>Simon Dangerfield</cp:lastModifiedBy>
  <cp:revision>7</cp:revision>
  <dcterms:created xsi:type="dcterms:W3CDTF">2022-02-08T15:00:00Z</dcterms:created>
  <dcterms:modified xsi:type="dcterms:W3CDTF">2023-11-14T10:03:00Z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0x01010085ED6499874BCB409E24C80077D9E666</vt:lpwstr>
  </property>
  <property fmtid="{D5CDD505-2E9C-101B-9397-08002B2CF9AE}" pid="3" name="Order">
    <vt:r8>915800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